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220" w:before="220" w:lineRule="auto"/>
        <w:contextualSpacing w:val="0"/>
        <w:rPr>
          <w:rFonts w:ascii="Georgia" w:cs="Georgia" w:eastAsia="Georgia" w:hAnsi="Georgia"/>
          <w:b w:val="1"/>
          <w:color w:val="232323"/>
          <w:sz w:val="26"/>
          <w:szCs w:val="26"/>
        </w:rPr>
      </w:pPr>
      <w:r w:rsidDel="00000000" w:rsidR="00000000" w:rsidRPr="00000000">
        <w:rPr>
          <w:rFonts w:ascii="Georgia" w:cs="Georgia" w:eastAsia="Georgia" w:hAnsi="Georgia"/>
          <w:b w:val="1"/>
          <w:color w:val="232323"/>
          <w:sz w:val="26"/>
          <w:szCs w:val="26"/>
          <w:rtl w:val="0"/>
        </w:rPr>
        <w:t xml:space="preserve">AB 32 creates positive results</w:t>
      </w:r>
    </w:p>
    <w:p w:rsidR="00000000" w:rsidDel="00000000" w:rsidP="00000000" w:rsidRDefault="00000000" w:rsidRPr="00000000">
      <w:pPr>
        <w:pBdr/>
        <w:spacing w:after="220" w:before="220" w:lineRule="auto"/>
        <w:contextualSpacing w:val="0"/>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Alex Breitler's article "Going Clean" (May 28) highlights the great news about California's climate legislation: it is working for Stockton.</w:t>
      </w:r>
    </w:p>
    <w:p w:rsidR="00000000" w:rsidDel="00000000" w:rsidP="00000000" w:rsidRDefault="00000000" w:rsidRPr="00000000">
      <w:pPr>
        <w:pBdr/>
        <w:spacing w:after="220" w:before="220" w:lineRule="auto"/>
        <w:contextualSpacing w:val="0"/>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Much of our city has long been designated "disadvantaged" under CalEnviroScreen due to high levels of pollution and poor socioeconomic indicators. This designation plays out in higher rates of asthma, which result in a greater number of missed school and work days, lower incomes, minimal access to healthy food and few housing or transportation options. But the good news is that AB 32 programs are recognizing the need for investments in Stockton, and especially our disadvantaged neighborhoods.</w:t>
      </w:r>
    </w:p>
    <w:p w:rsidR="00000000" w:rsidDel="00000000" w:rsidP="00000000" w:rsidRDefault="00000000" w:rsidRPr="00000000">
      <w:pPr>
        <w:pBdr/>
        <w:spacing w:after="220" w:before="220" w:lineRule="auto"/>
        <w:contextualSpacing w:val="0"/>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I am encouraged by stories like the Mendoza family's, who received a new electric vehicle to replace their dirty gas-guzzler courtesy of AB 32. ValleyCAN has been holding its highly successful "Tune In Tune Up" events in Stockton for years, providing opportunities for free smog testing for those most in need. But the event also included an Electric Vehicle Ride and Drive. Over 50 families test drove EV's and learned how to replace their old, polluting cars. These vehicle rebates are possible because of AB 32. Stockton also saw success in the first round of the Affordable Housing &amp; Sustainable Communities program; we're leading the San Joaquin Valley in number of applications. These transit-oriented projects would be transformative for downtown. Guess where this funding comes from? You're right: AB 32.</w:t>
      </w:r>
    </w:p>
    <w:p w:rsidR="00000000" w:rsidDel="00000000" w:rsidP="00000000" w:rsidRDefault="00000000" w:rsidRPr="00000000">
      <w:pPr>
        <w:pBdr/>
        <w:spacing w:after="220" w:before="220" w:lineRule="auto"/>
        <w:contextualSpacing w:val="0"/>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These investments are only the beginning. Stockton — especially our disadvantaged neighborhoods — are poised to benefit from the programs funded by AB 32.</w:t>
      </w:r>
    </w:p>
    <w:p w:rsidR="00000000" w:rsidDel="00000000" w:rsidP="00000000" w:rsidRDefault="00000000" w:rsidRPr="00000000">
      <w:pPr>
        <w:pBdr/>
        <w:spacing w:after="220" w:before="220" w:lineRule="auto"/>
        <w:contextualSpacing w:val="0"/>
        <w:rPr>
          <w:rFonts w:ascii="Georgia" w:cs="Georgia" w:eastAsia="Georgia" w:hAnsi="Georgia"/>
          <w:b w:val="1"/>
          <w:color w:val="232323"/>
          <w:sz w:val="26"/>
          <w:szCs w:val="26"/>
        </w:rPr>
      </w:pPr>
      <w:r w:rsidDel="00000000" w:rsidR="00000000" w:rsidRPr="00000000">
        <w:rPr>
          <w:rFonts w:ascii="Georgia" w:cs="Georgia" w:eastAsia="Georgia" w:hAnsi="Georgia"/>
          <w:b w:val="1"/>
          <w:color w:val="232323"/>
          <w:sz w:val="26"/>
          <w:szCs w:val="26"/>
          <w:rtl w:val="0"/>
        </w:rPr>
        <w:t xml:space="preserve">Katelyn Roedner Sutter</w:t>
      </w:r>
    </w:p>
    <w:p w:rsidR="00000000" w:rsidDel="00000000" w:rsidP="00000000" w:rsidRDefault="00000000" w:rsidRPr="00000000">
      <w:pPr>
        <w:pBdr/>
        <w:spacing w:after="220" w:before="220" w:lineRule="auto"/>
        <w:contextualSpacing w:val="0"/>
        <w:rPr>
          <w:rFonts w:ascii="Georgia" w:cs="Georgia" w:eastAsia="Georgia" w:hAnsi="Georgia"/>
          <w:i w:val="1"/>
          <w:color w:val="232323"/>
          <w:sz w:val="26"/>
          <w:szCs w:val="26"/>
        </w:rPr>
      </w:pPr>
      <w:r w:rsidDel="00000000" w:rsidR="00000000" w:rsidRPr="00000000">
        <w:rPr>
          <w:rFonts w:ascii="Georgia" w:cs="Georgia" w:eastAsia="Georgia" w:hAnsi="Georgia"/>
          <w:i w:val="1"/>
          <w:color w:val="232323"/>
          <w:sz w:val="26"/>
          <w:szCs w:val="26"/>
          <w:rtl w:val="0"/>
        </w:rPr>
        <w:t xml:space="preserve">Environmental Justice Program Director</w:t>
      </w:r>
    </w:p>
    <w:p w:rsidR="00000000" w:rsidDel="00000000" w:rsidP="00000000" w:rsidRDefault="00000000" w:rsidRPr="00000000">
      <w:pPr>
        <w:pBdr/>
        <w:spacing w:after="220" w:before="220" w:lineRule="auto"/>
        <w:contextualSpacing w:val="0"/>
        <w:rPr>
          <w:rFonts w:ascii="Georgia" w:cs="Georgia" w:eastAsia="Georgia" w:hAnsi="Georgia"/>
          <w:i w:val="1"/>
          <w:color w:val="232323"/>
          <w:sz w:val="26"/>
          <w:szCs w:val="26"/>
        </w:rPr>
      </w:pPr>
      <w:r w:rsidDel="00000000" w:rsidR="00000000" w:rsidRPr="00000000">
        <w:rPr>
          <w:rFonts w:ascii="Georgia" w:cs="Georgia" w:eastAsia="Georgia" w:hAnsi="Georgia"/>
          <w:i w:val="1"/>
          <w:color w:val="232323"/>
          <w:sz w:val="26"/>
          <w:szCs w:val="26"/>
          <w:rtl w:val="0"/>
        </w:rPr>
        <w:t xml:space="preserve">Catholic Charities, Diocese of Stockton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sz w:val="24"/>
          <w:szCs w:val="24"/>
        </w:rPr>
      </w:pPr>
      <w:bookmarkStart w:colFirst="0" w:colLast="0" w:name="_mi1esengj9g" w:id="0"/>
      <w:bookmarkEnd w:id="0"/>
      <w:r w:rsidDel="00000000" w:rsidR="00000000" w:rsidRPr="00000000">
        <w:rPr>
          <w:sz w:val="24"/>
          <w:szCs w:val="24"/>
          <w:rtl w:val="0"/>
        </w:rPr>
        <w:t xml:space="preserve">Letters (June 8, 2015)</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Stockton Record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http://www.recordnet.com/article/20150607/OPINION/150609752</w:t>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